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ownership.xml.htm"/>
      <w:bookmarkStart w:id="1" w:name="ksownership"/>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Azoulay Salomon</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MBX BIOSCIENCES, INC.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11711 N. MERIDIAN STREET, SUITE 300</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MBX Biosciences, Inc.</w:t>
              </w:r>
            </w:hyperlink>
            <w:r>
              <w:t xml:space="preserve"> [ </w:t>
            </w:r>
            <w:r>
              <w:rPr>
                <w:rFonts w:ascii="Times;serif" w:hAnsi="Times;serif"/>
                <w:color w:val="0000FF"/>
                <w:sz w:val="24"/>
                <w:shd w:fill="FFFFFF" w:val="clear"/>
              </w:rPr>
              <w:t>MBX</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pPr>
            <w:r/>
          </w:p>
        </w:tc>
        <w:tc>
          <w:tcPr>
            <w:tcW w:w="902"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pPr>
            <w:r/>
          </w:p>
        </w:tc>
        <w:tc>
          <w:tcPr>
            <w:tcW w:w="1002" w:type="dxa"/>
            <w:vMerge w:val="continue"/>
            <w:tcBorders>
              <w:left w:val="single" w:sz="2" w:space="0" w:color="808080"/>
              <w:bottom w:val="single" w:sz="2" w:space="0" w:color="808080"/>
              <w:right w:val="single" w:sz="6" w:space="0" w:color="808080"/>
            </w:tcBorders>
          </w:tcPr>
          <w:p>
            <w:pPr>
              <w:pStyle w:val="Normal"/>
              <w:bidi w:val="0"/>
              <w:jc w:val="left"/>
            </w:pPr>
            <w:r/>
          </w:p>
        </w:tc>
        <w:tc>
          <w:tcPr>
            <w:tcW w:w="923"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373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53.96</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common stock sold by the Reporting Person to cover tax obligations in connection with the vesting of restricted stock units, pursuant to a mandatory sell-to-cover agreement between the Reporting Person and the Company.</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on an aggregate basis for all Company participants, at prices ranging from $51.78 to $56.78, inclusive. The Reporting Person undertakes to provide to the Issuer, any security holder of the Issuer or the staff of the Securities and Exchange Commission, upon request, full information regarding the aggregate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W. Smither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246" TargetMode="External"/><Relationship Id="rId5" Type="http://schemas.openxmlformats.org/officeDocument/2006/relationships/hyperlink" Target="http://www.sec.gov/cgi-bin/browse-edgar?action=getcompany&amp;CIK=0001776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3724</Characters>
  <CharactersWithSpaces>4346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