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MBX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001-42272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84-1882872</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11711 N. Meridian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Carmel, Indiana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46032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(317) 659-0200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MBX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June 4, 2026, MBX Biosciences, Inc. (the "Company") held its 2026 annual meeting of stockholders (the "Annual Meeting"). As further described under Item 5.07 below, the Company's stockholders approved the election of two Class II directors to serve for a three-year term ending at the annual meeting of stockholders to be held in 2029.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held its Annual Meeting on June 4, 2026. As of April 10, 2026, the record date for the Annual Meeting, there were 47,570,485 shares outstanding shares of the Company's common stock. The Company's stockholders voted on the following matters, which are described in detail in the Proxy Statement: (i) to elect two Class II director nominees, Patrick J. Heron. and Edward T. Mathers, to the Company's Board of Directors, each to hold office until the Company's 2029 annual meeting of stockholders and until their successors are duly elected and qualified, subject to their earlier death, resignation or removal ("Proposal 1") and (ii) to ratify the appointment of Ernst &amp; Young LLP as the Company's independent registered public accounting firm for the fiscal year ending December 31, 2026 ("Proposal 2").</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Class II director nominees recommended for election in Proposal 1 at the Annual Meeting. The Company's stockholders voted for Class I directors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Class II Director Nominee</w:t>
            </w:r>
          </w:p>
        </w:tc>
        <w:tc>
          <w:tcPr>
            <w:tcW w:w="22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5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0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191"/>
        </w:trPr>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 Heron</w:t>
            </w:r>
          </w:p>
        </w:tc>
        <w:tc>
          <w:tcPr>
            <w:tcW w:w="220" w:type="dxa"/>
            <w:vAlign w:val="bottom"/>
          </w:tcPr>
          <w:p>
            <w:pPr>
              <w:spacing w:after="0"/>
              <w:rPr>
                <w:sz w:val="16"/>
                <w:szCs w:val="16"/>
                <w:color w:val="auto"/>
              </w:rPr>
            </w:pPr>
          </w:p>
        </w:tc>
        <w:tc>
          <w:tcPr>
            <w:tcW w:w="2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35,007,623</w:t>
            </w:r>
          </w:p>
        </w:tc>
        <w:tc>
          <w:tcPr>
            <w:tcW w:w="240" w:type="dxa"/>
            <w:vAlign w:val="bottom"/>
          </w:tcPr>
          <w:p>
            <w:pPr>
              <w:spacing w:after="0"/>
              <w:rPr>
                <w:sz w:val="16"/>
                <w:szCs w:val="16"/>
                <w:color w:val="auto"/>
              </w:rPr>
            </w:pPr>
          </w:p>
        </w:tc>
        <w:tc>
          <w:tcPr>
            <w:tcW w:w="2580" w:type="dxa"/>
            <w:vAlign w:val="bottom"/>
          </w:tcPr>
          <w:p>
            <w:pPr>
              <w:ind w:left="920"/>
              <w:spacing w:after="0" w:line="191" w:lineRule="exact"/>
              <w:rPr>
                <w:sz w:val="20"/>
                <w:szCs w:val="20"/>
                <w:color w:val="auto"/>
              </w:rPr>
            </w:pPr>
            <w:r>
              <w:rPr>
                <w:rFonts w:ascii="Times New Roman" w:cs="Times New Roman" w:eastAsia="Times New Roman" w:hAnsi="Times New Roman"/>
                <w:sz w:val="18"/>
                <w:szCs w:val="18"/>
                <w:color w:val="auto"/>
              </w:rPr>
              <w:t>4,579,129</w:t>
            </w:r>
          </w:p>
        </w:tc>
        <w:tc>
          <w:tcPr>
            <w:tcW w:w="200" w:type="dxa"/>
            <w:vAlign w:val="bottom"/>
          </w:tcPr>
          <w:p>
            <w:pPr>
              <w:spacing w:after="0"/>
              <w:rPr>
                <w:sz w:val="16"/>
                <w:szCs w:val="16"/>
                <w:color w:val="auto"/>
              </w:rPr>
            </w:pPr>
          </w:p>
        </w:tc>
        <w:tc>
          <w:tcPr>
            <w:tcW w:w="2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4,130,833</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Edward T. Mathers</w:t>
            </w:r>
          </w:p>
        </w:tc>
        <w:tc>
          <w:tcPr>
            <w:tcW w:w="26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31,983,223</w:t>
            </w:r>
          </w:p>
        </w:tc>
        <w:tc>
          <w:tcPr>
            <w:tcW w:w="28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7,603,529</w:t>
            </w:r>
          </w:p>
        </w:tc>
        <w:tc>
          <w:tcPr>
            <w:tcW w:w="30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4,130,833</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Proposal 2 to ratify the appointment of Ernst &amp; Young LLP as the Company's independent registered public accounting firm for the fiscal year ending December 31, 2026. The votes cast at the Annual Meeting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0" w:type="dxa"/>
            <w:vAlign w:val="bottom"/>
          </w:tcPr>
          <w:p>
            <w:pPr>
              <w:spacing w:after="0"/>
              <w:rPr>
                <w:sz w:val="20"/>
                <w:szCs w:val="20"/>
                <w:color w:val="auto"/>
              </w:rPr>
            </w:pPr>
          </w:p>
        </w:tc>
        <w:tc>
          <w:tcPr>
            <w:tcW w:w="368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1420" w:type="dxa"/>
            <w:vAlign w:val="bottom"/>
          </w:tcPr>
          <w:p>
            <w:pPr>
              <w:spacing w:after="0"/>
              <w:rPr>
                <w:sz w:val="19"/>
                <w:szCs w:val="19"/>
                <w:color w:val="auto"/>
              </w:rPr>
            </w:pPr>
          </w:p>
        </w:tc>
        <w:tc>
          <w:tcPr>
            <w:tcW w:w="1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43,713,693</w:t>
            </w:r>
          </w:p>
        </w:tc>
        <w:tc>
          <w:tcPr>
            <w:tcW w:w="180" w:type="dxa"/>
            <w:vAlign w:val="bottom"/>
          </w:tcPr>
          <w:p>
            <w:pPr>
              <w:spacing w:after="0"/>
              <w:rPr>
                <w:sz w:val="19"/>
                <w:szCs w:val="19"/>
                <w:color w:val="auto"/>
              </w:rPr>
            </w:pPr>
          </w:p>
        </w:tc>
        <w:tc>
          <w:tcPr>
            <w:tcW w:w="192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200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1,946</w:t>
            </w:r>
          </w:p>
        </w:tc>
        <w:tc>
          <w:tcPr>
            <w:tcW w:w="160" w:type="dxa"/>
            <w:vAlign w:val="bottom"/>
          </w:tcPr>
          <w:p>
            <w:pPr>
              <w:spacing w:after="0"/>
              <w:rPr>
                <w:sz w:val="19"/>
                <w:szCs w:val="19"/>
                <w:color w:val="auto"/>
              </w:rPr>
            </w:pPr>
          </w:p>
        </w:tc>
        <w:tc>
          <w:tcPr>
            <w:tcW w:w="214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r>
      <w:tr>
        <w:trPr>
          <w:trHeight w:val="961"/>
        </w:trPr>
        <w:tc>
          <w:tcPr>
            <w:tcW w:w="1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MBX Biosciences,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 Kent Hawryluk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2026-06-05T06:53:56Z</dcterms:created>
  <dcterms:modified xsi:type="dcterms:W3CDTF">2026-06-05T06:53:56Z</dcterms:modified>
</cp:coreProperties>
</file>